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text" w:horzAnchor="margin" w:tblpY="1"/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2072"/>
        <w:gridCol w:w="703"/>
        <w:gridCol w:w="1237"/>
        <w:gridCol w:w="3613"/>
      </w:tblGrid>
      <w:tr w:rsidR="00B57C61" w:rsidRPr="006F702D" w14:paraId="5C8F6692" w14:textId="77777777" w:rsidTr="006B7333">
        <w:trPr>
          <w:trHeight w:hRule="exact" w:val="425"/>
        </w:trPr>
        <w:tc>
          <w:tcPr>
            <w:tcW w:w="9507" w:type="dxa"/>
            <w:gridSpan w:val="5"/>
          </w:tcPr>
          <w:p w14:paraId="5C8F6691" w14:textId="77777777" w:rsidR="00B57C61" w:rsidRPr="006F702D" w:rsidRDefault="00B57C61" w:rsidP="006B7333">
            <w:pPr>
              <w:pStyle w:val="TableParagraph"/>
              <w:spacing w:line="410" w:lineRule="exact"/>
              <w:rPr>
                <w:rFonts w:asciiTheme="minorHAnsi" w:hAnsiTheme="minorHAnsi" w:cstheme="minorHAnsi"/>
                <w:b/>
                <w:sz w:val="36"/>
              </w:rPr>
            </w:pPr>
            <w:bookmarkStart w:id="0" w:name="_GoBack"/>
            <w:bookmarkEnd w:id="0"/>
            <w:r w:rsidRPr="006F702D">
              <w:rPr>
                <w:rFonts w:asciiTheme="minorHAnsi" w:hAnsiTheme="minorHAnsi" w:cstheme="minorHAnsi"/>
                <w:b/>
                <w:sz w:val="36"/>
              </w:rPr>
              <w:t>REQUEST FOR THE CALL-IN OF A DECISION</w:t>
            </w:r>
          </w:p>
        </w:tc>
      </w:tr>
      <w:tr w:rsidR="00B57C61" w:rsidRPr="006F702D" w14:paraId="5C8F6695" w14:textId="77777777" w:rsidTr="00F55A90">
        <w:trPr>
          <w:trHeight w:hRule="exact" w:val="1009"/>
        </w:trPr>
        <w:tc>
          <w:tcPr>
            <w:tcW w:w="9507" w:type="dxa"/>
            <w:gridSpan w:val="5"/>
            <w:shd w:val="clear" w:color="auto" w:fill="DFDFDF"/>
          </w:tcPr>
          <w:p w14:paraId="5C8F6693" w14:textId="77777777" w:rsidR="00B57C61" w:rsidRPr="006F702D" w:rsidRDefault="00B57C61" w:rsidP="006B7333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14:paraId="5C8F6694" w14:textId="77777777" w:rsidR="00B57C61" w:rsidRPr="006F702D" w:rsidRDefault="00B57C61" w:rsidP="006B7333">
            <w:pPr>
              <w:pStyle w:val="TableParagraph"/>
              <w:spacing w:before="1"/>
              <w:ind w:right="147"/>
              <w:jc w:val="both"/>
              <w:rPr>
                <w:rFonts w:asciiTheme="minorHAnsi" w:hAnsiTheme="minorHAnsi" w:cstheme="minorHAnsi"/>
                <w:sz w:val="18"/>
              </w:rPr>
            </w:pPr>
            <w:r w:rsidRPr="006F702D">
              <w:rPr>
                <w:rFonts w:asciiTheme="minorHAnsi" w:hAnsiTheme="minorHAnsi" w:cstheme="minorHAnsi"/>
                <w:sz w:val="18"/>
              </w:rPr>
              <w:t xml:space="preserve">Note 1: This form to be used by any Member of </w:t>
            </w:r>
            <w:r>
              <w:rPr>
                <w:rFonts w:asciiTheme="minorHAnsi" w:hAnsiTheme="minorHAnsi" w:cstheme="minorHAnsi"/>
                <w:sz w:val="18"/>
              </w:rPr>
              <w:t xml:space="preserve">the Council who is not a member of the Cabinet </w:t>
            </w:r>
            <w:r w:rsidRPr="006F702D">
              <w:rPr>
                <w:rFonts w:asciiTheme="minorHAnsi" w:hAnsiTheme="minorHAnsi" w:cstheme="minorHAnsi"/>
                <w:sz w:val="18"/>
              </w:rPr>
              <w:t>(or Co-opted Voting Member there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6F702D">
              <w:rPr>
                <w:rFonts w:asciiTheme="minorHAnsi" w:hAnsiTheme="minorHAnsi" w:cstheme="minorHAnsi"/>
                <w:sz w:val="18"/>
              </w:rPr>
              <w:t>of) to request the call-in of a decision taken by the Cabinet, or a Key Decision taken by a relevant body. The decision may only be called-in within 5 clear working days of the decision being taken.</w:t>
            </w:r>
          </w:p>
        </w:tc>
      </w:tr>
      <w:tr w:rsidR="00B57C61" w:rsidRPr="006F702D" w14:paraId="5C8F6698" w14:textId="77777777" w:rsidTr="006B7333">
        <w:trPr>
          <w:trHeight w:hRule="exact" w:val="562"/>
        </w:trPr>
        <w:tc>
          <w:tcPr>
            <w:tcW w:w="1882" w:type="dxa"/>
            <w:shd w:val="clear" w:color="auto" w:fill="DFDFDF"/>
          </w:tcPr>
          <w:p w14:paraId="5C8F6696" w14:textId="77777777" w:rsidR="00B57C61" w:rsidRPr="006F702D" w:rsidRDefault="00B57C61" w:rsidP="006B7333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</w:rPr>
            </w:pPr>
            <w:r w:rsidRPr="006F702D">
              <w:rPr>
                <w:rFonts w:asciiTheme="minorHAnsi" w:hAnsiTheme="minorHAnsi" w:cstheme="minorHAnsi"/>
                <w:sz w:val="24"/>
              </w:rPr>
              <w:t>Name of Item:</w:t>
            </w:r>
          </w:p>
        </w:tc>
        <w:tc>
          <w:tcPr>
            <w:tcW w:w="7625" w:type="dxa"/>
            <w:gridSpan w:val="4"/>
          </w:tcPr>
          <w:p w14:paraId="6F244F7E" w14:textId="5A3A7CBF" w:rsidR="00516D1C" w:rsidRPr="00516D1C" w:rsidRDefault="00516D1C" w:rsidP="006B7333">
            <w:pPr>
              <w:rPr>
                <w:rFonts w:asciiTheme="minorHAnsi" w:hAnsiTheme="minorHAnsi" w:cstheme="minorHAnsi"/>
              </w:rPr>
            </w:pPr>
            <w:r w:rsidRPr="00516D1C">
              <w:rPr>
                <w:rFonts w:asciiTheme="minorHAnsi" w:hAnsiTheme="minorHAnsi" w:cstheme="minorHAnsi"/>
              </w:rPr>
              <w:t xml:space="preserve">Grant To </w:t>
            </w:r>
            <w:r w:rsidR="00470F69">
              <w:rPr>
                <w:rFonts w:asciiTheme="minorHAnsi" w:hAnsiTheme="minorHAnsi" w:cstheme="minorHAnsi"/>
              </w:rPr>
              <w:t>LiveWire</w:t>
            </w:r>
            <w:r w:rsidRPr="00516D1C">
              <w:rPr>
                <w:rFonts w:asciiTheme="minorHAnsi" w:hAnsiTheme="minorHAnsi" w:cstheme="minorHAnsi"/>
              </w:rPr>
              <w:t xml:space="preserve"> CIC And Proposed Increase </w:t>
            </w:r>
            <w:r w:rsidR="00DF3274">
              <w:rPr>
                <w:rFonts w:asciiTheme="minorHAnsi" w:hAnsiTheme="minorHAnsi" w:cstheme="minorHAnsi"/>
              </w:rPr>
              <w:t>i</w:t>
            </w:r>
            <w:r w:rsidRPr="00516D1C">
              <w:rPr>
                <w:rFonts w:asciiTheme="minorHAnsi" w:hAnsiTheme="minorHAnsi" w:cstheme="minorHAnsi"/>
              </w:rPr>
              <w:t>n Management Fee To</w:t>
            </w:r>
          </w:p>
          <w:p w14:paraId="5C8F6697" w14:textId="2F2CFE33" w:rsidR="00516D1C" w:rsidRPr="006F702D" w:rsidRDefault="00470F69" w:rsidP="006B7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LiveWire</w:t>
            </w:r>
            <w:r w:rsidR="00516D1C" w:rsidRPr="00516D1C">
              <w:rPr>
                <w:rFonts w:asciiTheme="minorHAnsi" w:hAnsiTheme="minorHAnsi" w:cstheme="minorHAnsi"/>
              </w:rPr>
              <w:t xml:space="preserve"> CIC And Culture Warrington (Forward Plan No. 040/22</w:t>
            </w:r>
            <w:r w:rsidR="009A79B3">
              <w:rPr>
                <w:rFonts w:asciiTheme="minorHAnsi" w:hAnsiTheme="minorHAnsi" w:cstheme="minorHAnsi"/>
              </w:rPr>
              <w:t>)</w:t>
            </w:r>
          </w:p>
        </w:tc>
      </w:tr>
      <w:tr w:rsidR="00B57C61" w:rsidRPr="006F702D" w14:paraId="5C8F669D" w14:textId="77777777" w:rsidTr="006B7333">
        <w:trPr>
          <w:trHeight w:hRule="exact" w:val="562"/>
        </w:trPr>
        <w:tc>
          <w:tcPr>
            <w:tcW w:w="1882" w:type="dxa"/>
            <w:shd w:val="clear" w:color="auto" w:fill="DFDFDF"/>
          </w:tcPr>
          <w:p w14:paraId="5C8F6699" w14:textId="77777777" w:rsidR="00B57C61" w:rsidRPr="006F702D" w:rsidRDefault="00B57C61" w:rsidP="006B7333">
            <w:pPr>
              <w:pStyle w:val="TableParagraph"/>
              <w:ind w:right="201"/>
              <w:rPr>
                <w:rFonts w:asciiTheme="minorHAnsi" w:hAnsiTheme="minorHAnsi" w:cstheme="minorHAnsi"/>
                <w:sz w:val="24"/>
              </w:rPr>
            </w:pPr>
            <w:r w:rsidRPr="006F702D">
              <w:rPr>
                <w:rFonts w:asciiTheme="minorHAnsi" w:hAnsiTheme="minorHAnsi" w:cstheme="minorHAnsi"/>
                <w:sz w:val="24"/>
              </w:rPr>
              <w:t>Decision Reference No:</w:t>
            </w:r>
          </w:p>
        </w:tc>
        <w:tc>
          <w:tcPr>
            <w:tcW w:w="2072" w:type="dxa"/>
          </w:tcPr>
          <w:p w14:paraId="5C8F669A" w14:textId="5E8B0050" w:rsidR="00B57C61" w:rsidRPr="006F702D" w:rsidRDefault="00B57C61" w:rsidP="006B7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CAB </w:t>
            </w:r>
            <w:r w:rsidR="00A45B78" w:rsidRPr="00516D1C">
              <w:rPr>
                <w:rFonts w:asciiTheme="minorHAnsi" w:hAnsiTheme="minorHAnsi" w:cstheme="minorHAnsi"/>
              </w:rPr>
              <w:t>040/22</w:t>
            </w:r>
          </w:p>
        </w:tc>
        <w:tc>
          <w:tcPr>
            <w:tcW w:w="1940" w:type="dxa"/>
            <w:gridSpan w:val="2"/>
            <w:shd w:val="clear" w:color="auto" w:fill="DFDFDF"/>
          </w:tcPr>
          <w:p w14:paraId="5C8F669B" w14:textId="77777777" w:rsidR="00B57C61" w:rsidRPr="006F702D" w:rsidRDefault="00B57C61" w:rsidP="006B7333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</w:rPr>
            </w:pPr>
            <w:r w:rsidRPr="006F702D">
              <w:rPr>
                <w:rFonts w:asciiTheme="minorHAnsi" w:hAnsiTheme="minorHAnsi" w:cstheme="minorHAnsi"/>
                <w:sz w:val="24"/>
              </w:rPr>
              <w:t>Decision Date:</w:t>
            </w:r>
          </w:p>
        </w:tc>
        <w:tc>
          <w:tcPr>
            <w:tcW w:w="3613" w:type="dxa"/>
          </w:tcPr>
          <w:p w14:paraId="5C8F669C" w14:textId="40D4689D" w:rsidR="00B57C61" w:rsidRPr="006F702D" w:rsidRDefault="00B57C61" w:rsidP="006B7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Monday </w:t>
            </w:r>
            <w:r w:rsidR="00A45B78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 J</w:t>
            </w:r>
            <w:r w:rsidR="00A45B78">
              <w:rPr>
                <w:rFonts w:asciiTheme="minorHAnsi" w:hAnsiTheme="minorHAnsi" w:cstheme="minorHAnsi"/>
              </w:rPr>
              <w:t>anuary</w:t>
            </w:r>
            <w:r>
              <w:rPr>
                <w:rFonts w:asciiTheme="minorHAnsi" w:hAnsiTheme="minorHAnsi" w:cstheme="minorHAnsi"/>
              </w:rPr>
              <w:t xml:space="preserve"> 202</w:t>
            </w:r>
            <w:r w:rsidR="00A45B78">
              <w:rPr>
                <w:rFonts w:asciiTheme="minorHAnsi" w:hAnsiTheme="minorHAnsi" w:cstheme="minorHAnsi"/>
              </w:rPr>
              <w:t>3</w:t>
            </w:r>
          </w:p>
        </w:tc>
      </w:tr>
      <w:tr w:rsidR="00B57C61" w:rsidRPr="006F702D" w14:paraId="5C8F66A0" w14:textId="77777777" w:rsidTr="006B7333">
        <w:trPr>
          <w:trHeight w:hRule="exact" w:val="562"/>
        </w:trPr>
        <w:tc>
          <w:tcPr>
            <w:tcW w:w="3954" w:type="dxa"/>
            <w:gridSpan w:val="2"/>
            <w:shd w:val="clear" w:color="auto" w:fill="DFDFDF"/>
          </w:tcPr>
          <w:p w14:paraId="5C8F669E" w14:textId="77777777" w:rsidR="00B57C61" w:rsidRPr="006F702D" w:rsidRDefault="00B57C61" w:rsidP="006B7333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</w:rPr>
            </w:pPr>
            <w:r w:rsidRPr="006F702D">
              <w:rPr>
                <w:rFonts w:asciiTheme="minorHAnsi" w:hAnsiTheme="minorHAnsi" w:cstheme="minorHAnsi"/>
                <w:sz w:val="24"/>
              </w:rPr>
              <w:t>Name of Member Initiating Call-In:</w:t>
            </w:r>
          </w:p>
        </w:tc>
        <w:tc>
          <w:tcPr>
            <w:tcW w:w="5553" w:type="dxa"/>
            <w:gridSpan w:val="3"/>
          </w:tcPr>
          <w:p w14:paraId="5C8F669F" w14:textId="77777777" w:rsidR="00B57C61" w:rsidRPr="006F702D" w:rsidRDefault="00B57C61" w:rsidP="006B73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Nigel Balding</w:t>
            </w:r>
          </w:p>
        </w:tc>
      </w:tr>
      <w:tr w:rsidR="00B57C61" w:rsidRPr="006F702D" w14:paraId="5C8F66B9" w14:textId="77777777" w:rsidTr="006B7333">
        <w:trPr>
          <w:trHeight w:hRule="exact" w:val="9960"/>
        </w:trPr>
        <w:tc>
          <w:tcPr>
            <w:tcW w:w="9507" w:type="dxa"/>
            <w:gridSpan w:val="5"/>
          </w:tcPr>
          <w:p w14:paraId="5C8F66A1" w14:textId="77777777" w:rsidR="00B57C61" w:rsidRPr="006F702D" w:rsidRDefault="00B57C61" w:rsidP="006B7333">
            <w:pPr>
              <w:pStyle w:val="TableParagraph"/>
              <w:spacing w:line="242" w:lineRule="auto"/>
              <w:ind w:right="205"/>
              <w:rPr>
                <w:rFonts w:asciiTheme="minorHAnsi" w:hAnsiTheme="minorHAnsi" w:cstheme="minorHAnsi"/>
                <w:sz w:val="18"/>
              </w:rPr>
            </w:pPr>
            <w:r w:rsidRPr="006F702D">
              <w:rPr>
                <w:rFonts w:asciiTheme="minorHAnsi" w:hAnsiTheme="minorHAnsi" w:cstheme="minorHAnsi"/>
                <w:sz w:val="24"/>
                <w:u w:val="single"/>
              </w:rPr>
              <w:t>Reason for Calling-In the Decision</w:t>
            </w:r>
            <w:r w:rsidRPr="006F702D">
              <w:rPr>
                <w:rFonts w:asciiTheme="minorHAnsi" w:hAnsiTheme="minorHAnsi" w:cstheme="minorHAnsi"/>
                <w:sz w:val="24"/>
              </w:rPr>
              <w:t xml:space="preserve">: </w:t>
            </w:r>
            <w:r w:rsidRPr="006F702D">
              <w:rPr>
                <w:rFonts w:asciiTheme="minorHAnsi" w:hAnsiTheme="minorHAnsi" w:cstheme="minorHAnsi"/>
                <w:sz w:val="18"/>
              </w:rPr>
              <w:t>(Note 2: Please identify which decision-making principle it is alleged has not been adhered to and provide an explanation to support your call-in request)</w:t>
            </w:r>
          </w:p>
          <w:p w14:paraId="5C8F66A2" w14:textId="77777777" w:rsidR="00B57C61" w:rsidRPr="006F702D" w:rsidRDefault="00B57C61" w:rsidP="006B7333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93F2330" w14:textId="3C55159A" w:rsidR="00782E8D" w:rsidRDefault="001066FC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Th</w:t>
            </w:r>
            <w:r w:rsidR="00470F69">
              <w:rPr>
                <w:rFonts w:asciiTheme="minorHAnsi" w:hAnsiTheme="minorHAnsi" w:cstheme="minorHAnsi"/>
                <w:bCs/>
                <w:sz w:val="20"/>
              </w:rPr>
              <w:t>is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4275AC">
              <w:rPr>
                <w:rFonts w:asciiTheme="minorHAnsi" w:hAnsiTheme="minorHAnsi" w:cstheme="minorHAnsi"/>
                <w:bCs/>
                <w:sz w:val="20"/>
              </w:rPr>
              <w:t xml:space="preserve">call-in relates to a </w:t>
            </w:r>
            <w:r>
              <w:rPr>
                <w:rFonts w:asciiTheme="minorHAnsi" w:hAnsiTheme="minorHAnsi" w:cstheme="minorHAnsi"/>
                <w:bCs/>
                <w:sz w:val="20"/>
              </w:rPr>
              <w:t>decision invol</w:t>
            </w:r>
            <w:r w:rsidR="004275AC">
              <w:rPr>
                <w:rFonts w:asciiTheme="minorHAnsi" w:hAnsiTheme="minorHAnsi" w:cstheme="minorHAnsi"/>
                <w:bCs/>
                <w:sz w:val="20"/>
              </w:rPr>
              <w:t>ving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81E82">
              <w:rPr>
                <w:rFonts w:asciiTheme="minorHAnsi" w:hAnsiTheme="minorHAnsi" w:cstheme="minorHAnsi"/>
                <w:bCs/>
                <w:sz w:val="20"/>
              </w:rPr>
              <w:t xml:space="preserve">financial support for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two separate organisations, </w:t>
            </w:r>
            <w:r w:rsidR="00470F69">
              <w:rPr>
                <w:rFonts w:asciiTheme="minorHAnsi" w:hAnsiTheme="minorHAnsi" w:cstheme="minorHAnsi"/>
                <w:bCs/>
                <w:sz w:val="20"/>
              </w:rPr>
              <w:t>LiveWire</w:t>
            </w:r>
            <w:r w:rsidR="00AD2543">
              <w:rPr>
                <w:rFonts w:asciiTheme="minorHAnsi" w:hAnsiTheme="minorHAnsi" w:cstheme="minorHAnsi"/>
                <w:bCs/>
                <w:sz w:val="20"/>
              </w:rPr>
              <w:t xml:space="preserve"> CIC</w:t>
            </w:r>
            <w:r w:rsidR="0086215A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>and Culture Warrington</w:t>
            </w:r>
            <w:r w:rsidR="00470F69">
              <w:rPr>
                <w:rFonts w:asciiTheme="minorHAnsi" w:hAnsiTheme="minorHAnsi" w:cstheme="minorHAnsi"/>
                <w:bCs/>
                <w:sz w:val="20"/>
              </w:rPr>
              <w:t xml:space="preserve">. In my opinion these two decisions </w:t>
            </w:r>
            <w:r w:rsidR="00866F86">
              <w:rPr>
                <w:rFonts w:asciiTheme="minorHAnsi" w:hAnsiTheme="minorHAnsi" w:cstheme="minorHAnsi"/>
                <w:bCs/>
                <w:sz w:val="20"/>
              </w:rPr>
              <w:t xml:space="preserve">should not have been considered as one item. </w:t>
            </w:r>
            <w:r w:rsidR="00E9558A">
              <w:rPr>
                <w:rFonts w:asciiTheme="minorHAnsi" w:hAnsiTheme="minorHAnsi" w:cstheme="minorHAnsi"/>
                <w:bCs/>
                <w:sz w:val="20"/>
              </w:rPr>
              <w:t xml:space="preserve">This call-in relates to </w:t>
            </w:r>
            <w:r w:rsidR="00470F69">
              <w:rPr>
                <w:rFonts w:asciiTheme="minorHAnsi" w:hAnsiTheme="minorHAnsi" w:cstheme="minorHAnsi"/>
                <w:bCs/>
                <w:sz w:val="20"/>
              </w:rPr>
              <w:t>LiveWire</w:t>
            </w:r>
            <w:r w:rsidR="00E9558A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B729E">
              <w:rPr>
                <w:rFonts w:asciiTheme="minorHAnsi" w:hAnsiTheme="minorHAnsi" w:cstheme="minorHAnsi"/>
                <w:bCs/>
                <w:sz w:val="20"/>
              </w:rPr>
              <w:t xml:space="preserve">as it is the largest </w:t>
            </w:r>
            <w:r w:rsidR="00470F69">
              <w:rPr>
                <w:rFonts w:asciiTheme="minorHAnsi" w:hAnsiTheme="minorHAnsi" w:cstheme="minorHAnsi"/>
                <w:bCs/>
                <w:sz w:val="20"/>
              </w:rPr>
              <w:t>decision</w:t>
            </w:r>
            <w:r w:rsidR="00535A9E">
              <w:rPr>
                <w:rFonts w:asciiTheme="minorHAnsi" w:hAnsiTheme="minorHAnsi" w:cstheme="minorHAnsi"/>
                <w:bCs/>
                <w:sz w:val="20"/>
              </w:rPr>
              <w:t>. H</w:t>
            </w:r>
            <w:r w:rsidR="0005633A">
              <w:rPr>
                <w:rFonts w:asciiTheme="minorHAnsi" w:hAnsiTheme="minorHAnsi" w:cstheme="minorHAnsi"/>
                <w:bCs/>
                <w:sz w:val="20"/>
              </w:rPr>
              <w:t>owever</w:t>
            </w:r>
            <w:r w:rsidR="00535A9E">
              <w:rPr>
                <w:rFonts w:asciiTheme="minorHAnsi" w:hAnsiTheme="minorHAnsi" w:cstheme="minorHAnsi"/>
                <w:bCs/>
                <w:sz w:val="20"/>
              </w:rPr>
              <w:t>,</w:t>
            </w:r>
            <w:r w:rsidR="0005633A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782E8D">
              <w:rPr>
                <w:rFonts w:asciiTheme="minorHAnsi" w:hAnsiTheme="minorHAnsi" w:cstheme="minorHAnsi"/>
                <w:bCs/>
                <w:sz w:val="20"/>
              </w:rPr>
              <w:t>if accepted</w:t>
            </w:r>
            <w:r w:rsidR="00535A9E">
              <w:rPr>
                <w:rFonts w:asciiTheme="minorHAnsi" w:hAnsiTheme="minorHAnsi" w:cstheme="minorHAnsi"/>
                <w:bCs/>
                <w:sz w:val="20"/>
              </w:rPr>
              <w:t>,</w:t>
            </w:r>
            <w:r w:rsidR="00782E8D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655294">
              <w:rPr>
                <w:rFonts w:asciiTheme="minorHAnsi" w:hAnsiTheme="minorHAnsi" w:cstheme="minorHAnsi"/>
                <w:bCs/>
                <w:sz w:val="20"/>
              </w:rPr>
              <w:t xml:space="preserve">Cabinet should </w:t>
            </w:r>
            <w:r w:rsidR="00470F69">
              <w:rPr>
                <w:rFonts w:asciiTheme="minorHAnsi" w:hAnsiTheme="minorHAnsi" w:cstheme="minorHAnsi"/>
                <w:bCs/>
                <w:sz w:val="20"/>
              </w:rPr>
              <w:t xml:space="preserve">reconsider this item as two </w:t>
            </w:r>
            <w:r w:rsidR="00655294">
              <w:rPr>
                <w:rFonts w:asciiTheme="minorHAnsi" w:hAnsiTheme="minorHAnsi" w:cstheme="minorHAnsi"/>
                <w:bCs/>
                <w:sz w:val="20"/>
              </w:rPr>
              <w:t xml:space="preserve">different </w:t>
            </w:r>
            <w:r w:rsidR="00470F69">
              <w:rPr>
                <w:rFonts w:asciiTheme="minorHAnsi" w:hAnsiTheme="minorHAnsi" w:cstheme="minorHAnsi"/>
                <w:bCs/>
                <w:sz w:val="20"/>
              </w:rPr>
              <w:t>decisions</w:t>
            </w:r>
            <w:r w:rsidR="00782E8D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B729E">
              <w:rPr>
                <w:rFonts w:asciiTheme="minorHAnsi" w:hAnsiTheme="minorHAnsi" w:cstheme="minorHAnsi"/>
                <w:bCs/>
                <w:sz w:val="20"/>
              </w:rPr>
              <w:t>consider</w:t>
            </w:r>
            <w:r w:rsidR="00470F69">
              <w:rPr>
                <w:rFonts w:asciiTheme="minorHAnsi" w:hAnsiTheme="minorHAnsi" w:cstheme="minorHAnsi"/>
                <w:bCs/>
                <w:sz w:val="20"/>
              </w:rPr>
              <w:t>ing</w:t>
            </w:r>
            <w:r w:rsidR="009B729E">
              <w:rPr>
                <w:rFonts w:asciiTheme="minorHAnsi" w:hAnsiTheme="minorHAnsi" w:cstheme="minorHAnsi"/>
                <w:bCs/>
                <w:sz w:val="20"/>
              </w:rPr>
              <w:t xml:space="preserve"> them individually</w:t>
            </w:r>
            <w:r w:rsidR="00470F69">
              <w:rPr>
                <w:rFonts w:asciiTheme="minorHAnsi" w:hAnsiTheme="minorHAnsi" w:cstheme="minorHAnsi"/>
                <w:bCs/>
                <w:sz w:val="20"/>
              </w:rPr>
              <w:t xml:space="preserve"> on merit</w:t>
            </w:r>
            <w:r w:rsidR="009B729E">
              <w:rPr>
                <w:rFonts w:asciiTheme="minorHAnsi" w:hAnsiTheme="minorHAnsi" w:cstheme="minorHAnsi"/>
                <w:bCs/>
                <w:sz w:val="20"/>
              </w:rPr>
              <w:t xml:space="preserve">. </w:t>
            </w:r>
          </w:p>
          <w:p w14:paraId="718B5AC3" w14:textId="77777777" w:rsidR="003C0879" w:rsidRDefault="003C0879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43F4E1D4" w14:textId="6C11836F" w:rsidR="00115AAD" w:rsidRDefault="00470F69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The decision to </w:t>
            </w:r>
            <w:r w:rsidR="004D6BE7">
              <w:rPr>
                <w:rFonts w:asciiTheme="minorHAnsi" w:hAnsiTheme="minorHAnsi" w:cstheme="minorHAnsi"/>
                <w:bCs/>
                <w:sz w:val="20"/>
              </w:rPr>
              <w:t>subsidis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e </w:t>
            </w:r>
            <w:r w:rsidR="004D6BE7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="00334A2D">
              <w:rPr>
                <w:rFonts w:asciiTheme="minorHAnsi" w:hAnsiTheme="minorHAnsi" w:cstheme="minorHAnsi"/>
                <w:bCs/>
                <w:sz w:val="20"/>
              </w:rPr>
              <w:t>restructur</w:t>
            </w:r>
            <w:r>
              <w:rPr>
                <w:rFonts w:asciiTheme="minorHAnsi" w:hAnsiTheme="minorHAnsi" w:cstheme="minorHAnsi"/>
                <w:bCs/>
                <w:sz w:val="20"/>
              </w:rPr>
              <w:t>e</w:t>
            </w:r>
            <w:r w:rsidR="00334A2D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>LiveWire</w:t>
            </w:r>
            <w:r w:rsidR="00334A2D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8404BB">
              <w:rPr>
                <w:rFonts w:asciiTheme="minorHAnsi" w:hAnsiTheme="minorHAnsi" w:cstheme="minorHAnsi"/>
                <w:bCs/>
                <w:sz w:val="20"/>
              </w:rPr>
              <w:t xml:space="preserve">provides no details of the </w:t>
            </w:r>
            <w:r w:rsidR="00DF52F4">
              <w:rPr>
                <w:rFonts w:asciiTheme="minorHAnsi" w:hAnsiTheme="minorHAnsi" w:cstheme="minorHAnsi"/>
                <w:bCs/>
                <w:sz w:val="20"/>
              </w:rPr>
              <w:t>R</w:t>
            </w:r>
            <w:r w:rsidR="008404BB">
              <w:rPr>
                <w:rFonts w:asciiTheme="minorHAnsi" w:hAnsiTheme="minorHAnsi" w:cstheme="minorHAnsi"/>
                <w:bCs/>
                <w:sz w:val="20"/>
              </w:rPr>
              <w:t>estructure</w:t>
            </w:r>
            <w:r w:rsidR="00DF52F4">
              <w:rPr>
                <w:rFonts w:asciiTheme="minorHAnsi" w:hAnsiTheme="minorHAnsi" w:cstheme="minorHAnsi"/>
                <w:bCs/>
                <w:sz w:val="20"/>
              </w:rPr>
              <w:t xml:space="preserve"> Plan</w:t>
            </w:r>
            <w:r w:rsidR="008404B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AD428E">
              <w:rPr>
                <w:rFonts w:asciiTheme="minorHAnsi" w:hAnsiTheme="minorHAnsi" w:cstheme="minorHAnsi"/>
                <w:bCs/>
                <w:sz w:val="20"/>
              </w:rPr>
              <w:t>nor does it specify the amount of subsidy</w:t>
            </w:r>
            <w:r w:rsidR="00935022">
              <w:rPr>
                <w:rFonts w:asciiTheme="minorHAnsi" w:hAnsiTheme="minorHAnsi" w:cstheme="minorHAnsi"/>
                <w:bCs/>
                <w:sz w:val="20"/>
              </w:rPr>
              <w:t xml:space="preserve"> grant</w:t>
            </w:r>
            <w:r w:rsidR="00AD428E">
              <w:rPr>
                <w:rFonts w:asciiTheme="minorHAnsi" w:hAnsiTheme="minorHAnsi" w:cstheme="minorHAnsi"/>
                <w:bCs/>
                <w:sz w:val="20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Both the </w:t>
            </w:r>
            <w:r w:rsidR="006769C4">
              <w:rPr>
                <w:rFonts w:asciiTheme="minorHAnsi" w:hAnsiTheme="minorHAnsi" w:cstheme="minorHAnsi"/>
                <w:bCs/>
                <w:sz w:val="20"/>
              </w:rPr>
              <w:t>r</w:t>
            </w:r>
            <w:r>
              <w:rPr>
                <w:rFonts w:asciiTheme="minorHAnsi" w:hAnsiTheme="minorHAnsi" w:cstheme="minorHAnsi"/>
                <w:bCs/>
                <w:sz w:val="20"/>
              </w:rPr>
              <w:t>estructur</w:t>
            </w:r>
            <w:r w:rsidR="006769C4">
              <w:rPr>
                <w:rFonts w:asciiTheme="minorHAnsi" w:hAnsiTheme="minorHAnsi" w:cstheme="minorHAnsi"/>
                <w:bCs/>
                <w:sz w:val="20"/>
              </w:rPr>
              <w:t>ing details</w:t>
            </w:r>
            <w:r w:rsidR="003122F4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="003122F4">
              <w:rPr>
                <w:rFonts w:asciiTheme="minorHAnsi" w:hAnsiTheme="minorHAnsi" w:cstheme="minorHAnsi"/>
                <w:bCs/>
                <w:sz w:val="20"/>
              </w:rPr>
              <w:t xml:space="preserve">amount of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subsidy for such a large organisation should </w:t>
            </w:r>
            <w:r w:rsidR="00935022">
              <w:rPr>
                <w:rFonts w:asciiTheme="minorHAnsi" w:hAnsiTheme="minorHAnsi" w:cstheme="minorHAnsi"/>
                <w:bCs/>
                <w:sz w:val="20"/>
              </w:rPr>
              <w:t xml:space="preserve">have been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made </w:t>
            </w:r>
            <w:r w:rsidR="000408A1">
              <w:rPr>
                <w:rFonts w:asciiTheme="minorHAnsi" w:hAnsiTheme="minorHAnsi" w:cstheme="minorHAnsi"/>
                <w:bCs/>
                <w:sz w:val="20"/>
              </w:rPr>
              <w:t xml:space="preserve">be clear before </w:t>
            </w:r>
            <w:r w:rsidR="0067246C">
              <w:rPr>
                <w:rFonts w:asciiTheme="minorHAnsi" w:hAnsiTheme="minorHAnsi" w:cstheme="minorHAnsi"/>
                <w:bCs/>
                <w:sz w:val="20"/>
              </w:rPr>
              <w:t>Cabinet</w:t>
            </w:r>
            <w:r w:rsidR="000E3E95">
              <w:rPr>
                <w:rFonts w:asciiTheme="minorHAnsi" w:hAnsiTheme="minorHAnsi" w:cstheme="minorHAnsi"/>
                <w:bCs/>
                <w:sz w:val="20"/>
              </w:rPr>
              <w:t xml:space="preserve">’s decision </w:t>
            </w:r>
            <w:r w:rsidR="0067246C">
              <w:rPr>
                <w:rFonts w:asciiTheme="minorHAnsi" w:hAnsiTheme="minorHAnsi" w:cstheme="minorHAnsi"/>
                <w:bCs/>
                <w:sz w:val="20"/>
              </w:rPr>
              <w:t xml:space="preserve">so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that </w:t>
            </w:r>
            <w:r w:rsidR="0067246C">
              <w:rPr>
                <w:rFonts w:asciiTheme="minorHAnsi" w:hAnsiTheme="minorHAnsi" w:cstheme="minorHAnsi"/>
                <w:bCs/>
                <w:sz w:val="20"/>
              </w:rPr>
              <w:t xml:space="preserve">there is clear democratic </w:t>
            </w:r>
            <w:r w:rsidR="00D613C6">
              <w:rPr>
                <w:rFonts w:asciiTheme="minorHAnsi" w:hAnsiTheme="minorHAnsi" w:cstheme="minorHAnsi"/>
                <w:bCs/>
                <w:sz w:val="20"/>
              </w:rPr>
              <w:t>accountability</w:t>
            </w:r>
            <w:r w:rsidR="0090751F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  <w:p w14:paraId="5F7BE0F5" w14:textId="77777777" w:rsidR="00115AAD" w:rsidRDefault="00115AAD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5CB96BEE" w14:textId="1F2D063D" w:rsidR="00735121" w:rsidRDefault="00115AAD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T</w:t>
            </w:r>
            <w:r w:rsidR="0090751F">
              <w:rPr>
                <w:rFonts w:asciiTheme="minorHAnsi" w:hAnsiTheme="minorHAnsi" w:cstheme="minorHAnsi"/>
                <w:bCs/>
                <w:sz w:val="20"/>
              </w:rPr>
              <w:t>his call</w:t>
            </w:r>
            <w:r w:rsidR="00FD599F">
              <w:rPr>
                <w:rFonts w:asciiTheme="minorHAnsi" w:hAnsiTheme="minorHAnsi" w:cstheme="minorHAnsi"/>
                <w:bCs/>
                <w:sz w:val="20"/>
              </w:rPr>
              <w:t>-</w:t>
            </w:r>
            <w:r w:rsidR="0090751F">
              <w:rPr>
                <w:rFonts w:asciiTheme="minorHAnsi" w:hAnsiTheme="minorHAnsi" w:cstheme="minorHAnsi"/>
                <w:bCs/>
                <w:sz w:val="20"/>
              </w:rPr>
              <w:t xml:space="preserve">in </w:t>
            </w:r>
            <w:r w:rsidR="00756038">
              <w:rPr>
                <w:rFonts w:asciiTheme="minorHAnsi" w:hAnsiTheme="minorHAnsi" w:cstheme="minorHAnsi"/>
                <w:bCs/>
                <w:sz w:val="20"/>
              </w:rPr>
              <w:t xml:space="preserve">is being made because the decision is </w:t>
            </w:r>
            <w:r w:rsidR="00B57C61" w:rsidRPr="00B57C61">
              <w:rPr>
                <w:rFonts w:asciiTheme="minorHAnsi" w:hAnsiTheme="minorHAnsi" w:cstheme="minorHAnsi"/>
                <w:bCs/>
                <w:sz w:val="20"/>
              </w:rPr>
              <w:t xml:space="preserve">contrary to </w:t>
            </w:r>
            <w:r w:rsidR="00A149C8">
              <w:rPr>
                <w:rFonts w:asciiTheme="minorHAnsi" w:hAnsiTheme="minorHAnsi" w:cstheme="minorHAnsi"/>
                <w:bCs/>
                <w:sz w:val="20"/>
              </w:rPr>
              <w:t>some</w:t>
            </w:r>
            <w:r w:rsidR="00FC011E">
              <w:rPr>
                <w:rFonts w:asciiTheme="minorHAnsi" w:hAnsiTheme="minorHAnsi" w:cstheme="minorHAnsi"/>
                <w:bCs/>
                <w:sz w:val="20"/>
              </w:rPr>
              <w:t>,</w:t>
            </w:r>
            <w:r w:rsidR="00A149C8">
              <w:rPr>
                <w:rFonts w:asciiTheme="minorHAnsi" w:hAnsiTheme="minorHAnsi" w:cstheme="minorHAnsi"/>
                <w:bCs/>
                <w:sz w:val="20"/>
              </w:rPr>
              <w:t xml:space="preserve"> or all</w:t>
            </w:r>
            <w:r w:rsidR="00FC011E">
              <w:rPr>
                <w:rFonts w:asciiTheme="minorHAnsi" w:hAnsiTheme="minorHAnsi" w:cstheme="minorHAnsi"/>
                <w:bCs/>
                <w:sz w:val="20"/>
              </w:rPr>
              <w:t>,</w:t>
            </w:r>
            <w:r w:rsidR="00A149C8">
              <w:rPr>
                <w:rFonts w:asciiTheme="minorHAnsi" w:hAnsiTheme="minorHAnsi" w:cstheme="minorHAnsi"/>
                <w:bCs/>
                <w:sz w:val="20"/>
              </w:rPr>
              <w:t xml:space="preserve"> of the following </w:t>
            </w:r>
            <w:r w:rsidR="00B57C61" w:rsidRPr="00B57C61">
              <w:rPr>
                <w:rFonts w:asciiTheme="minorHAnsi" w:hAnsiTheme="minorHAnsi" w:cstheme="minorHAnsi"/>
                <w:bCs/>
                <w:sz w:val="20"/>
              </w:rPr>
              <w:t>principle</w:t>
            </w:r>
            <w:r w:rsidR="00A149C8">
              <w:rPr>
                <w:rFonts w:asciiTheme="minorHAnsi" w:hAnsiTheme="minorHAnsi" w:cstheme="minorHAnsi"/>
                <w:bCs/>
                <w:sz w:val="20"/>
              </w:rPr>
              <w:t>s</w:t>
            </w:r>
            <w:r w:rsidR="00735121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  <w:p w14:paraId="378DBF81" w14:textId="77777777" w:rsidR="00735121" w:rsidRDefault="00735121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5183DE2C" w14:textId="77777777" w:rsidR="00735121" w:rsidRPr="00470F69" w:rsidRDefault="00A149C8" w:rsidP="006B7333">
            <w:pPr>
              <w:ind w:left="135"/>
              <w:rPr>
                <w:rFonts w:asciiTheme="minorHAnsi" w:hAnsiTheme="minorHAnsi" w:cstheme="minorHAnsi"/>
                <w:b/>
                <w:sz w:val="20"/>
              </w:rPr>
            </w:pPr>
            <w:r w:rsidRPr="00470F69">
              <w:rPr>
                <w:rFonts w:asciiTheme="minorHAnsi" w:hAnsiTheme="minorHAnsi" w:cstheme="minorHAnsi"/>
                <w:b/>
                <w:sz w:val="20"/>
              </w:rPr>
              <w:t>(b) due consultation and the taking of professional advice from officers</w:t>
            </w:r>
          </w:p>
          <w:p w14:paraId="524978A0" w14:textId="77777777" w:rsidR="00735121" w:rsidRDefault="00735121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15AAABAD" w14:textId="4B548DC3" w:rsidR="00574DB2" w:rsidRDefault="00431514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Expert </w:t>
            </w:r>
            <w:r w:rsidR="00722374">
              <w:rPr>
                <w:rFonts w:asciiTheme="minorHAnsi" w:hAnsiTheme="minorHAnsi" w:cstheme="minorHAnsi"/>
                <w:bCs/>
                <w:sz w:val="20"/>
              </w:rPr>
              <w:t xml:space="preserve">legal </w:t>
            </w:r>
            <w:r>
              <w:rPr>
                <w:rFonts w:asciiTheme="minorHAnsi" w:hAnsiTheme="minorHAnsi" w:cstheme="minorHAnsi"/>
                <w:bCs/>
                <w:sz w:val="20"/>
              </w:rPr>
              <w:t>advice is require</w:t>
            </w:r>
            <w:r w:rsidR="00416C5F">
              <w:rPr>
                <w:rFonts w:asciiTheme="minorHAnsi" w:hAnsiTheme="minorHAnsi" w:cstheme="minorHAnsi"/>
                <w:bCs/>
                <w:sz w:val="20"/>
              </w:rPr>
              <w:t>d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to </w:t>
            </w:r>
            <w:r w:rsidR="00BA79A7">
              <w:rPr>
                <w:rFonts w:asciiTheme="minorHAnsi" w:hAnsiTheme="minorHAnsi" w:cstheme="minorHAnsi"/>
                <w:bCs/>
                <w:sz w:val="20"/>
              </w:rPr>
              <w:t xml:space="preserve">adhere to the requirements of the </w:t>
            </w:r>
            <w:r w:rsidR="00BA79A7" w:rsidRPr="00BA79A7">
              <w:rPr>
                <w:rFonts w:asciiTheme="minorHAnsi" w:hAnsiTheme="minorHAnsi" w:cstheme="minorHAnsi"/>
                <w:bCs/>
                <w:sz w:val="20"/>
              </w:rPr>
              <w:t>Subsidy Control Act</w:t>
            </w:r>
            <w:r w:rsidR="00470F69">
              <w:rPr>
                <w:rFonts w:asciiTheme="minorHAnsi" w:hAnsiTheme="minorHAnsi" w:cstheme="minorHAnsi"/>
                <w:bCs/>
                <w:sz w:val="20"/>
              </w:rPr>
              <w:t xml:space="preserve"> (SCA)</w:t>
            </w:r>
            <w:r w:rsidR="00BA79A7" w:rsidRPr="00BA79A7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416C5F">
              <w:rPr>
                <w:rFonts w:asciiTheme="minorHAnsi" w:hAnsiTheme="minorHAnsi" w:cstheme="minorHAnsi"/>
                <w:bCs/>
                <w:sz w:val="20"/>
              </w:rPr>
              <w:t xml:space="preserve">and </w:t>
            </w:r>
            <w:r w:rsidR="00880B4C">
              <w:rPr>
                <w:rFonts w:asciiTheme="minorHAnsi" w:hAnsiTheme="minorHAnsi" w:cstheme="minorHAnsi"/>
                <w:bCs/>
                <w:sz w:val="20"/>
              </w:rPr>
              <w:t xml:space="preserve">this advice cannot be given to Cabinet </w:t>
            </w:r>
            <w:r w:rsidR="00AE0687">
              <w:rPr>
                <w:rFonts w:asciiTheme="minorHAnsi" w:hAnsiTheme="minorHAnsi" w:cstheme="minorHAnsi"/>
                <w:bCs/>
                <w:sz w:val="20"/>
              </w:rPr>
              <w:t>without a Restru</w:t>
            </w:r>
            <w:r w:rsidR="00722374">
              <w:rPr>
                <w:rFonts w:asciiTheme="minorHAnsi" w:hAnsiTheme="minorHAnsi" w:cstheme="minorHAnsi"/>
                <w:bCs/>
                <w:sz w:val="20"/>
              </w:rPr>
              <w:t>cture Plan</w:t>
            </w:r>
            <w:r w:rsidR="00416C5F">
              <w:rPr>
                <w:rFonts w:asciiTheme="minorHAnsi" w:hAnsiTheme="minorHAnsi" w:cstheme="minorHAnsi"/>
                <w:bCs/>
                <w:sz w:val="20"/>
              </w:rPr>
              <w:t>.</w:t>
            </w:r>
            <w:r w:rsidR="006E1C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4DA7933C" w14:textId="77777777" w:rsidR="00574DB2" w:rsidRDefault="00574DB2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21F45D7A" w14:textId="7097F2D6" w:rsidR="00CE4C09" w:rsidRDefault="006E1C06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Expert financial advice is </w:t>
            </w:r>
            <w:r w:rsidR="00690376">
              <w:rPr>
                <w:rFonts w:asciiTheme="minorHAnsi" w:hAnsiTheme="minorHAnsi" w:cstheme="minorHAnsi"/>
                <w:bCs/>
                <w:sz w:val="20"/>
              </w:rPr>
              <w:t xml:space="preserve">also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required </w:t>
            </w:r>
            <w:r w:rsidR="006F2C4C">
              <w:rPr>
                <w:rFonts w:asciiTheme="minorHAnsi" w:hAnsiTheme="minorHAnsi" w:cstheme="minorHAnsi"/>
                <w:bCs/>
                <w:sz w:val="20"/>
              </w:rPr>
              <w:t>before making this decision a</w:t>
            </w:r>
            <w:r>
              <w:rPr>
                <w:rFonts w:asciiTheme="minorHAnsi" w:hAnsiTheme="minorHAnsi" w:cstheme="minorHAnsi"/>
                <w:bCs/>
                <w:sz w:val="20"/>
              </w:rPr>
              <w:t>nd th</w:t>
            </w:r>
            <w:r w:rsidR="006F2C4C">
              <w:rPr>
                <w:rFonts w:asciiTheme="minorHAnsi" w:hAnsiTheme="minorHAnsi" w:cstheme="minorHAnsi"/>
                <w:bCs/>
                <w:sz w:val="20"/>
              </w:rPr>
              <w:t>is advice can</w:t>
            </w:r>
            <w:r w:rsidR="00467CC3">
              <w:rPr>
                <w:rFonts w:asciiTheme="minorHAnsi" w:hAnsiTheme="minorHAnsi" w:cstheme="minorHAnsi"/>
                <w:bCs/>
                <w:sz w:val="20"/>
              </w:rPr>
              <w:t>not</w:t>
            </w:r>
            <w:r w:rsidR="006F2C4C">
              <w:rPr>
                <w:rFonts w:asciiTheme="minorHAnsi" w:hAnsiTheme="minorHAnsi" w:cstheme="minorHAnsi"/>
                <w:bCs/>
                <w:sz w:val="20"/>
              </w:rPr>
              <w:t xml:space="preserve"> be given </w:t>
            </w:r>
            <w:r w:rsidR="00467CC3">
              <w:rPr>
                <w:rFonts w:asciiTheme="minorHAnsi" w:hAnsiTheme="minorHAnsi" w:cstheme="minorHAnsi"/>
                <w:bCs/>
                <w:sz w:val="20"/>
              </w:rPr>
              <w:t>to Cabinet without a Restructur</w:t>
            </w:r>
            <w:r w:rsidR="000E3B14">
              <w:rPr>
                <w:rFonts w:asciiTheme="minorHAnsi" w:hAnsiTheme="minorHAnsi" w:cstheme="minorHAnsi"/>
                <w:bCs/>
                <w:sz w:val="20"/>
              </w:rPr>
              <w:t>e</w:t>
            </w:r>
            <w:r w:rsidR="00467CC3">
              <w:rPr>
                <w:rFonts w:asciiTheme="minorHAnsi" w:hAnsiTheme="minorHAnsi" w:cstheme="minorHAnsi"/>
                <w:bCs/>
                <w:sz w:val="20"/>
              </w:rPr>
              <w:t xml:space="preserve"> Plan.</w:t>
            </w:r>
          </w:p>
          <w:p w14:paraId="542B065D" w14:textId="77777777" w:rsidR="00735121" w:rsidRDefault="00735121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6D3CD9F9" w14:textId="2798016B" w:rsidR="00265C20" w:rsidRPr="00265C20" w:rsidRDefault="00265C20" w:rsidP="006B7333">
            <w:pPr>
              <w:ind w:left="135"/>
              <w:rPr>
                <w:rFonts w:asciiTheme="minorHAnsi" w:hAnsiTheme="minorHAnsi" w:cstheme="minorHAnsi"/>
                <w:b/>
                <w:sz w:val="20"/>
              </w:rPr>
            </w:pPr>
            <w:r w:rsidRPr="00265C20">
              <w:rPr>
                <w:rFonts w:asciiTheme="minorHAnsi" w:hAnsiTheme="minorHAnsi" w:cstheme="minorHAnsi"/>
                <w:b/>
                <w:sz w:val="20"/>
              </w:rPr>
              <w:t>(d) a presumption in favour of openness</w:t>
            </w:r>
          </w:p>
          <w:p w14:paraId="0857A377" w14:textId="77777777" w:rsidR="00265C20" w:rsidRDefault="00265C20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01824148" w14:textId="77777777" w:rsidR="00225472" w:rsidRDefault="00225472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 w:rsidRPr="00225472">
              <w:rPr>
                <w:rFonts w:asciiTheme="minorHAnsi" w:hAnsiTheme="minorHAnsi" w:cstheme="minorHAnsi"/>
                <w:bCs/>
                <w:sz w:val="20"/>
              </w:rPr>
              <w:t>Given the potential size and duration of the additional financial support to Livewire, the lack of transparency and openness is both inappropriate and unjustified.</w:t>
            </w:r>
          </w:p>
          <w:p w14:paraId="48693FEB" w14:textId="77777777" w:rsidR="00225472" w:rsidRDefault="00225472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484B88B3" w14:textId="7D0F20C6" w:rsidR="00265C20" w:rsidRDefault="00251D7E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The scale of the proposed grant requires disclosure in the part 1 papers.</w:t>
            </w:r>
          </w:p>
          <w:p w14:paraId="5B8A722C" w14:textId="77777777" w:rsidR="00265C20" w:rsidRDefault="00265C20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13E1575E" w14:textId="18128CBF" w:rsidR="00735121" w:rsidRPr="00470F69" w:rsidRDefault="00A149C8" w:rsidP="006B7333">
            <w:pPr>
              <w:ind w:left="135"/>
              <w:rPr>
                <w:rFonts w:asciiTheme="minorHAnsi" w:hAnsiTheme="minorHAnsi" w:cstheme="minorHAnsi"/>
                <w:b/>
                <w:sz w:val="20"/>
              </w:rPr>
            </w:pPr>
            <w:r w:rsidRPr="00470F69">
              <w:rPr>
                <w:rFonts w:asciiTheme="minorHAnsi" w:hAnsiTheme="minorHAnsi" w:cstheme="minorHAnsi"/>
                <w:b/>
                <w:sz w:val="20"/>
              </w:rPr>
              <w:t xml:space="preserve">(e) clarity of aims and desired outcomes </w:t>
            </w:r>
          </w:p>
          <w:p w14:paraId="531FBA4B" w14:textId="77777777" w:rsidR="00735121" w:rsidRDefault="00735121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20919B11" w14:textId="77777777" w:rsidR="00E45219" w:rsidRDefault="00E47574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Without </w:t>
            </w:r>
            <w:r w:rsidR="001C61C4">
              <w:rPr>
                <w:rFonts w:asciiTheme="minorHAnsi" w:hAnsiTheme="minorHAnsi" w:cstheme="minorHAnsi"/>
                <w:bCs/>
                <w:sz w:val="20"/>
              </w:rPr>
              <w:t xml:space="preserve">details of the planned restructure for </w:t>
            </w:r>
            <w:r w:rsidR="00470F69">
              <w:rPr>
                <w:rFonts w:asciiTheme="minorHAnsi" w:hAnsiTheme="minorHAnsi" w:cstheme="minorHAnsi"/>
                <w:bCs/>
                <w:sz w:val="20"/>
              </w:rPr>
              <w:t>LiveWire</w:t>
            </w:r>
            <w:r w:rsidR="005177EB">
              <w:rPr>
                <w:rFonts w:asciiTheme="minorHAnsi" w:hAnsiTheme="minorHAnsi" w:cstheme="minorHAnsi"/>
                <w:bCs/>
                <w:sz w:val="20"/>
              </w:rPr>
              <w:t xml:space="preserve"> there can be no understanding of the required outcome</w:t>
            </w:r>
            <w:r w:rsidR="00470F69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  <w:p w14:paraId="6CE4CAA5" w14:textId="77777777" w:rsidR="00E45219" w:rsidRDefault="00E45219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5A5275B4" w14:textId="0CF6A356" w:rsidR="00B57C61" w:rsidRDefault="00C30064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The aims are not clear.</w:t>
            </w:r>
          </w:p>
          <w:p w14:paraId="78152C11" w14:textId="77777777" w:rsidR="00352B11" w:rsidRDefault="00352B11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5C8F66B8" w14:textId="0720BD2B" w:rsidR="00352B11" w:rsidRPr="00E1251D" w:rsidRDefault="00352B11" w:rsidP="006B7333">
            <w:pPr>
              <w:ind w:left="135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 w:rsidRPr="00E1251D">
              <w:rPr>
                <w:rFonts w:asciiTheme="minorHAnsi" w:hAnsiTheme="minorHAnsi" w:cstheme="minorHAnsi"/>
                <w:b/>
                <w:i/>
                <w:iCs/>
                <w:sz w:val="20"/>
              </w:rPr>
              <w:t>Continued on the next page</w:t>
            </w:r>
          </w:p>
        </w:tc>
      </w:tr>
      <w:tr w:rsidR="00824403" w:rsidRPr="0059749F" w14:paraId="31C46296" w14:textId="77777777" w:rsidTr="00796D0E">
        <w:trPr>
          <w:trHeight w:hRule="exact" w:val="6531"/>
        </w:trPr>
        <w:tc>
          <w:tcPr>
            <w:tcW w:w="9507" w:type="dxa"/>
            <w:gridSpan w:val="5"/>
            <w:shd w:val="clear" w:color="auto" w:fill="FFFFFF" w:themeFill="background1"/>
          </w:tcPr>
          <w:p w14:paraId="564016D9" w14:textId="77777777" w:rsidR="006B7333" w:rsidRDefault="006B7333" w:rsidP="006B7333">
            <w:pPr>
              <w:ind w:left="135"/>
              <w:rPr>
                <w:rFonts w:asciiTheme="minorHAnsi" w:hAnsiTheme="minorHAnsi" w:cstheme="minorHAnsi"/>
                <w:b/>
                <w:sz w:val="20"/>
              </w:rPr>
            </w:pPr>
          </w:p>
          <w:p w14:paraId="15BF36A6" w14:textId="2DE21B5A" w:rsidR="00C44CE7" w:rsidRPr="00470F69" w:rsidRDefault="00C44CE7" w:rsidP="006B7333">
            <w:pPr>
              <w:ind w:left="135"/>
              <w:rPr>
                <w:rFonts w:asciiTheme="minorHAnsi" w:hAnsiTheme="minorHAnsi" w:cstheme="minorHAnsi"/>
                <w:b/>
                <w:sz w:val="20"/>
              </w:rPr>
            </w:pPr>
            <w:r w:rsidRPr="00470F69">
              <w:rPr>
                <w:rFonts w:asciiTheme="minorHAnsi" w:hAnsiTheme="minorHAnsi" w:cstheme="minorHAnsi"/>
                <w:b/>
                <w:sz w:val="20"/>
              </w:rPr>
              <w:t xml:space="preserve">(f) having considered the financial implications and any risk involved in the decision </w:t>
            </w:r>
          </w:p>
          <w:p w14:paraId="63A03E11" w14:textId="77777777" w:rsidR="00C44CE7" w:rsidRDefault="00C44CE7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157A021F" w14:textId="77777777" w:rsidR="00C44CE7" w:rsidRDefault="00C44CE7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A proposed value for the subsidy of LiveWire is not given, just a maximum amount. </w:t>
            </w:r>
          </w:p>
          <w:p w14:paraId="04B020FA" w14:textId="77777777" w:rsidR="00C44CE7" w:rsidRDefault="00C44CE7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73EDD5C2" w14:textId="17617BCD" w:rsidR="00C44CE7" w:rsidRDefault="00B10CD1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T</w:t>
            </w:r>
            <w:r w:rsidR="00C44CE7">
              <w:rPr>
                <w:rFonts w:asciiTheme="minorHAnsi" w:hAnsiTheme="minorHAnsi" w:cstheme="minorHAnsi"/>
                <w:bCs/>
                <w:sz w:val="20"/>
              </w:rPr>
              <w:t>he necessary Restructur</w:t>
            </w:r>
            <w:r w:rsidR="00E82410">
              <w:rPr>
                <w:rFonts w:asciiTheme="minorHAnsi" w:hAnsiTheme="minorHAnsi" w:cstheme="minorHAnsi"/>
                <w:bCs/>
                <w:sz w:val="20"/>
              </w:rPr>
              <w:t>e</w:t>
            </w:r>
            <w:r w:rsidR="00C44CE7">
              <w:rPr>
                <w:rFonts w:asciiTheme="minorHAnsi" w:hAnsiTheme="minorHAnsi" w:cstheme="minorHAnsi"/>
                <w:bCs/>
                <w:sz w:val="20"/>
              </w:rPr>
              <w:t xml:space="preserve"> Plan for LiveWire</w:t>
            </w:r>
            <w:r w:rsidR="00C44CE7" w:rsidRPr="00470F69">
              <w:rPr>
                <w:rFonts w:asciiTheme="minorHAnsi" w:hAnsiTheme="minorHAnsi" w:cstheme="minorHAnsi"/>
                <w:bCs/>
                <w:sz w:val="20"/>
              </w:rPr>
              <w:t xml:space="preserve"> has not been prepared, nor has a</w:t>
            </w:r>
            <w:r w:rsidR="00C44CE7">
              <w:rPr>
                <w:rFonts w:asciiTheme="minorHAnsi" w:hAnsiTheme="minorHAnsi" w:cstheme="minorHAnsi"/>
                <w:bCs/>
                <w:sz w:val="20"/>
              </w:rPr>
              <w:t>n</w:t>
            </w:r>
            <w:r w:rsidR="00C44CE7" w:rsidRPr="00470F69">
              <w:rPr>
                <w:rFonts w:asciiTheme="minorHAnsi" w:hAnsiTheme="minorHAnsi" w:cstheme="minorHAnsi"/>
                <w:bCs/>
                <w:sz w:val="20"/>
              </w:rPr>
              <w:t xml:space="preserve"> assessment of the </w:t>
            </w:r>
            <w:r w:rsidR="00C44CE7">
              <w:rPr>
                <w:rFonts w:asciiTheme="minorHAnsi" w:hAnsiTheme="minorHAnsi" w:cstheme="minorHAnsi"/>
                <w:bCs/>
                <w:sz w:val="20"/>
              </w:rPr>
              <w:t xml:space="preserve">SCA Section </w:t>
            </w:r>
            <w:r w:rsidR="00C44CE7" w:rsidRPr="00470F69">
              <w:rPr>
                <w:rFonts w:asciiTheme="minorHAnsi" w:hAnsiTheme="minorHAnsi" w:cstheme="minorHAnsi"/>
                <w:bCs/>
                <w:sz w:val="20"/>
              </w:rPr>
              <w:t>20</w:t>
            </w:r>
            <w:r w:rsidR="00C44CE7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E82410">
              <w:rPr>
                <w:rFonts w:asciiTheme="minorHAnsi" w:hAnsiTheme="minorHAnsi" w:cstheme="minorHAnsi"/>
                <w:bCs/>
                <w:sz w:val="20"/>
              </w:rPr>
              <w:t>R</w:t>
            </w:r>
            <w:r w:rsidR="00C44CE7" w:rsidRPr="00470F69">
              <w:rPr>
                <w:rFonts w:asciiTheme="minorHAnsi" w:hAnsiTheme="minorHAnsi" w:cstheme="minorHAnsi"/>
                <w:bCs/>
                <w:sz w:val="20"/>
              </w:rPr>
              <w:t>equirements</w:t>
            </w:r>
            <w:r w:rsidR="00C44CE7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  <w:p w14:paraId="062E6380" w14:textId="77777777" w:rsidR="00C44CE7" w:rsidRDefault="00C44CE7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518A0256" w14:textId="5FF44984" w:rsidR="00F76204" w:rsidRDefault="00C44CE7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Without a Restructure Plan there can be no certainty that the amount of subsidy is appropriate. </w:t>
            </w:r>
            <w:r w:rsidR="00F76204" w:rsidRPr="00F76204">
              <w:rPr>
                <w:rFonts w:asciiTheme="minorHAnsi" w:hAnsiTheme="minorHAnsi" w:cstheme="minorHAnsi"/>
                <w:bCs/>
                <w:sz w:val="20"/>
              </w:rPr>
              <w:t>The LiveWire contract is not renewable until 2027, so if the subsidy is over-generous, then funds will have been earmarked away from more needy causes within the Borough; and if the subsidy is not enough, then further subsidies are not allowed for five years, putting LiveWire at risk again.</w:t>
            </w:r>
          </w:p>
          <w:p w14:paraId="6111FA25" w14:textId="77777777" w:rsidR="00824403" w:rsidRDefault="00824403" w:rsidP="006B73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5CB8550C" w14:textId="77777777" w:rsidR="00824403" w:rsidRPr="00470F69" w:rsidRDefault="00824403" w:rsidP="006B7333">
            <w:pPr>
              <w:ind w:left="135"/>
              <w:rPr>
                <w:rFonts w:asciiTheme="minorHAnsi" w:hAnsiTheme="minorHAnsi" w:cstheme="minorHAnsi"/>
                <w:b/>
                <w:sz w:val="20"/>
              </w:rPr>
            </w:pPr>
            <w:r w:rsidRPr="00470F69">
              <w:rPr>
                <w:rFonts w:asciiTheme="minorHAnsi" w:hAnsiTheme="minorHAnsi" w:cstheme="minorHAnsi"/>
                <w:b/>
                <w:sz w:val="20"/>
              </w:rPr>
              <w:t xml:space="preserve">(g) having explained what if any viable options were considered </w:t>
            </w:r>
          </w:p>
          <w:p w14:paraId="26A38421" w14:textId="77777777" w:rsidR="00824403" w:rsidRDefault="00824403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6EF3CEDE" w14:textId="7F6EBDF1" w:rsidR="00824403" w:rsidRDefault="00824403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One alternative option is to bring the LiveWire services “in house” so that WBC would take over running the Livewire services</w:t>
            </w:r>
            <w:r w:rsidR="00612BCC">
              <w:rPr>
                <w:rFonts w:asciiTheme="minorHAnsi" w:hAnsiTheme="minorHAnsi" w:cstheme="minorHAnsi"/>
                <w:bCs/>
                <w:sz w:val="20"/>
              </w:rPr>
              <w:t>, as it did in 2012</w:t>
            </w:r>
            <w:r>
              <w:rPr>
                <w:rFonts w:asciiTheme="minorHAnsi" w:hAnsiTheme="minorHAnsi" w:cstheme="minorHAnsi"/>
                <w:bCs/>
                <w:sz w:val="20"/>
              </w:rPr>
              <w:t>. The financial implications for this alternative option have not been specified or discussed in the report put to Cabinet.</w:t>
            </w:r>
          </w:p>
          <w:p w14:paraId="26AB398C" w14:textId="77777777" w:rsidR="008E11E6" w:rsidRDefault="008E11E6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763BE6ED" w14:textId="77777777" w:rsidR="008E11E6" w:rsidRDefault="008E11E6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Another alternative </w:t>
            </w:r>
            <w:r w:rsidR="00CD2E47">
              <w:rPr>
                <w:rFonts w:asciiTheme="minorHAnsi" w:hAnsiTheme="minorHAnsi" w:cstheme="minorHAnsi"/>
                <w:bCs/>
                <w:sz w:val="20"/>
              </w:rPr>
              <w:t xml:space="preserve">is </w:t>
            </w:r>
            <w:r>
              <w:rPr>
                <w:rFonts w:asciiTheme="minorHAnsi" w:hAnsiTheme="minorHAnsi" w:cstheme="minorHAnsi"/>
                <w:bCs/>
                <w:sz w:val="20"/>
              </w:rPr>
              <w:t>to tender the services</w:t>
            </w:r>
            <w:r w:rsidR="005B09A9">
              <w:rPr>
                <w:rFonts w:asciiTheme="minorHAnsi" w:hAnsiTheme="minorHAnsi" w:cstheme="minorHAnsi"/>
                <w:bCs/>
                <w:sz w:val="20"/>
              </w:rPr>
              <w:t xml:space="preserve"> of LiveWire. This would confirm the costs and scope of </w:t>
            </w:r>
            <w:r w:rsidR="00684E62">
              <w:rPr>
                <w:rFonts w:asciiTheme="minorHAnsi" w:hAnsiTheme="minorHAnsi" w:cstheme="minorHAnsi"/>
                <w:bCs/>
                <w:sz w:val="20"/>
              </w:rPr>
              <w:t>services that could be provided by other suppliers.</w:t>
            </w:r>
            <w:r w:rsidR="000D0B1E">
              <w:rPr>
                <w:rFonts w:asciiTheme="minorHAnsi" w:hAnsiTheme="minorHAnsi" w:cstheme="minorHAnsi"/>
                <w:bCs/>
                <w:sz w:val="20"/>
              </w:rPr>
              <w:t xml:space="preserve"> This option has not been </w:t>
            </w:r>
            <w:r w:rsidR="00AC75CF">
              <w:rPr>
                <w:rFonts w:asciiTheme="minorHAnsi" w:hAnsiTheme="minorHAnsi" w:cstheme="minorHAnsi"/>
                <w:bCs/>
                <w:sz w:val="20"/>
              </w:rPr>
              <w:t>considered in the report to Cabinet.</w:t>
            </w:r>
          </w:p>
          <w:p w14:paraId="55D2B4FB" w14:textId="77777777" w:rsidR="00382A70" w:rsidRDefault="00382A70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368010F1" w14:textId="11045C91" w:rsidR="00382A70" w:rsidRPr="00382A70" w:rsidRDefault="00382A70" w:rsidP="006B7333">
            <w:pPr>
              <w:ind w:left="135"/>
              <w:rPr>
                <w:rFonts w:asciiTheme="minorHAnsi" w:hAnsiTheme="minorHAnsi" w:cstheme="minorHAnsi"/>
                <w:b/>
                <w:sz w:val="20"/>
              </w:rPr>
            </w:pPr>
            <w:r w:rsidRPr="00382A70">
              <w:rPr>
                <w:rFonts w:asciiTheme="minorHAnsi" w:hAnsiTheme="minorHAnsi" w:cstheme="minorHAnsi"/>
                <w:b/>
                <w:sz w:val="20"/>
              </w:rPr>
              <w:t>(h) giving reasons for the decision</w:t>
            </w:r>
          </w:p>
          <w:p w14:paraId="6694AADB" w14:textId="77777777" w:rsidR="00382A70" w:rsidRDefault="00382A70" w:rsidP="006B7333">
            <w:pPr>
              <w:ind w:left="135"/>
              <w:rPr>
                <w:rFonts w:asciiTheme="minorHAnsi" w:hAnsiTheme="minorHAnsi" w:cstheme="minorHAnsi"/>
                <w:bCs/>
                <w:sz w:val="20"/>
              </w:rPr>
            </w:pPr>
          </w:p>
          <w:p w14:paraId="54112BA6" w14:textId="0232CB70" w:rsidR="00382A70" w:rsidRPr="006F702D" w:rsidRDefault="00382A70" w:rsidP="00382A70">
            <w:pPr>
              <w:ind w:left="135"/>
              <w:rPr>
                <w:rFonts w:asciiTheme="minorHAnsi" w:hAnsiTheme="minorHAnsi" w:cstheme="minorHAnsi"/>
                <w:sz w:val="18"/>
              </w:rPr>
            </w:pPr>
            <w:r w:rsidRPr="00382A70">
              <w:rPr>
                <w:rFonts w:asciiTheme="minorHAnsi" w:hAnsiTheme="minorHAnsi" w:cstheme="minorHAnsi"/>
                <w:bCs/>
                <w:sz w:val="20"/>
              </w:rPr>
              <w:t>Insufficient reasoning has been given to justify the specific levels of financial support proposed. Warrington’s residents need to be assured that these significant proposals are a good use of their Council Tax payments.</w:t>
            </w:r>
          </w:p>
        </w:tc>
      </w:tr>
      <w:tr w:rsidR="00B57C61" w:rsidRPr="0059749F" w14:paraId="5C8F66C4" w14:textId="77777777" w:rsidTr="006B7333">
        <w:trPr>
          <w:trHeight w:hRule="exact" w:val="2977"/>
        </w:trPr>
        <w:tc>
          <w:tcPr>
            <w:tcW w:w="9507" w:type="dxa"/>
            <w:gridSpan w:val="5"/>
            <w:shd w:val="clear" w:color="auto" w:fill="DFDFDF"/>
          </w:tcPr>
          <w:p w14:paraId="5C8F66BA" w14:textId="77777777" w:rsidR="00B57C61" w:rsidRPr="006F702D" w:rsidRDefault="00B57C61" w:rsidP="006B733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F702D">
              <w:rPr>
                <w:rFonts w:asciiTheme="minorHAnsi" w:hAnsiTheme="minorHAnsi" w:cstheme="minorHAnsi"/>
                <w:sz w:val="18"/>
              </w:rPr>
              <w:t>Note 4: The call in must relate to one, or more, of the following reasons:-</w:t>
            </w:r>
          </w:p>
          <w:p w14:paraId="5C8F66BB" w14:textId="60F235E9" w:rsidR="00B57C61" w:rsidRPr="00351532" w:rsidRDefault="00B57C61" w:rsidP="006B7333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Cs/>
                <w:sz w:val="17"/>
              </w:rPr>
            </w:pPr>
          </w:p>
          <w:p w14:paraId="5C8F66BC" w14:textId="77777777" w:rsidR="00B57C61" w:rsidRPr="0059749F" w:rsidRDefault="00B57C61" w:rsidP="006B7333">
            <w:pPr>
              <w:pStyle w:val="ListParagraph"/>
              <w:numPr>
                <w:ilvl w:val="0"/>
                <w:numId w:val="1"/>
              </w:numPr>
              <w:tabs>
                <w:tab w:val="left" w:pos="1334"/>
                <w:tab w:val="left" w:pos="1335"/>
              </w:tabs>
              <w:spacing w:before="214"/>
              <w:ind w:righ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proportionality – the action must be proportionate to the desired outcome</w:t>
            </w:r>
          </w:p>
          <w:p w14:paraId="5C8F66BD" w14:textId="77777777" w:rsidR="00B57C61" w:rsidRPr="0059749F" w:rsidRDefault="00B57C61" w:rsidP="006B7333">
            <w:pPr>
              <w:pStyle w:val="ListParagraph"/>
              <w:numPr>
                <w:ilvl w:val="0"/>
                <w:numId w:val="1"/>
              </w:numPr>
              <w:tabs>
                <w:tab w:val="left" w:pos="1334"/>
                <w:tab w:val="left" w:pos="133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due consultation and the taking of professional advice from</w:t>
            </w:r>
            <w:r w:rsidRPr="0059749F">
              <w:rPr>
                <w:rFonts w:asciiTheme="minorHAnsi" w:hAnsiTheme="minorHAnsi" w:cstheme="minorHAnsi"/>
                <w:spacing w:val="-23"/>
                <w:sz w:val="20"/>
                <w:szCs w:val="20"/>
              </w:rPr>
              <w:t xml:space="preserve"> </w:t>
            </w: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officers</w:t>
            </w:r>
          </w:p>
          <w:p w14:paraId="5C8F66BE" w14:textId="77777777" w:rsidR="00B57C61" w:rsidRPr="0059749F" w:rsidRDefault="00B57C61" w:rsidP="006B7333">
            <w:pPr>
              <w:pStyle w:val="ListParagraph"/>
              <w:numPr>
                <w:ilvl w:val="0"/>
                <w:numId w:val="1"/>
              </w:numPr>
              <w:tabs>
                <w:tab w:val="left" w:pos="1334"/>
                <w:tab w:val="left" w:pos="133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respect for human</w:t>
            </w:r>
            <w:r w:rsidRPr="0059749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rights</w:t>
            </w:r>
          </w:p>
          <w:p w14:paraId="5C8F66BF" w14:textId="77777777" w:rsidR="00B57C61" w:rsidRPr="0059749F" w:rsidRDefault="00B57C61" w:rsidP="006B7333">
            <w:pPr>
              <w:pStyle w:val="ListParagraph"/>
              <w:numPr>
                <w:ilvl w:val="0"/>
                <w:numId w:val="1"/>
              </w:numPr>
              <w:tabs>
                <w:tab w:val="left" w:pos="1334"/>
                <w:tab w:val="left" w:pos="133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a presumption in favour of</w:t>
            </w:r>
            <w:r w:rsidRPr="0059749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openness</w:t>
            </w:r>
          </w:p>
          <w:p w14:paraId="5C8F66C0" w14:textId="77777777" w:rsidR="00B57C61" w:rsidRPr="0059749F" w:rsidRDefault="00B57C61" w:rsidP="006B7333">
            <w:pPr>
              <w:pStyle w:val="ListParagraph"/>
              <w:numPr>
                <w:ilvl w:val="0"/>
                <w:numId w:val="1"/>
              </w:numPr>
              <w:tabs>
                <w:tab w:val="left" w:pos="1334"/>
                <w:tab w:val="left" w:pos="133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clarity of aims and desired</w:t>
            </w:r>
            <w:r w:rsidRPr="0059749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outcomes</w:t>
            </w:r>
          </w:p>
          <w:p w14:paraId="5C8F66C1" w14:textId="77777777" w:rsidR="00B57C61" w:rsidRPr="0059749F" w:rsidRDefault="00B57C61" w:rsidP="006B7333">
            <w:pPr>
              <w:pStyle w:val="ListParagraph"/>
              <w:numPr>
                <w:ilvl w:val="0"/>
                <w:numId w:val="1"/>
              </w:numPr>
              <w:tabs>
                <w:tab w:val="left" w:pos="1334"/>
                <w:tab w:val="left" w:pos="1335"/>
              </w:tabs>
              <w:ind w:righ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having considered the financial implications and any risk involved in the</w:t>
            </w:r>
            <w:r w:rsidRPr="0059749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decision</w:t>
            </w:r>
          </w:p>
          <w:p w14:paraId="5C8F66C2" w14:textId="77777777" w:rsidR="00B57C61" w:rsidRPr="0059749F" w:rsidRDefault="00B57C61" w:rsidP="006B7333">
            <w:pPr>
              <w:pStyle w:val="ListParagraph"/>
              <w:numPr>
                <w:ilvl w:val="0"/>
                <w:numId w:val="1"/>
              </w:numPr>
              <w:tabs>
                <w:tab w:val="left" w:pos="1334"/>
                <w:tab w:val="left" w:pos="133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having explained what if any viable options were</w:t>
            </w:r>
            <w:r w:rsidRPr="0059749F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considered</w:t>
            </w:r>
          </w:p>
          <w:p w14:paraId="5C8F66C3" w14:textId="77777777" w:rsidR="00B57C61" w:rsidRPr="0059749F" w:rsidRDefault="00B57C61" w:rsidP="006B7333">
            <w:pPr>
              <w:pStyle w:val="ListParagraph"/>
              <w:numPr>
                <w:ilvl w:val="0"/>
                <w:numId w:val="1"/>
              </w:numPr>
              <w:tabs>
                <w:tab w:val="left" w:pos="1334"/>
                <w:tab w:val="left" w:pos="133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giving reasons for the</w:t>
            </w:r>
            <w:r w:rsidRPr="0059749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9749F">
              <w:rPr>
                <w:rFonts w:asciiTheme="minorHAnsi" w:hAnsiTheme="minorHAnsi" w:cstheme="minorHAnsi"/>
                <w:sz w:val="20"/>
                <w:szCs w:val="20"/>
              </w:rPr>
              <w:t>decision</w:t>
            </w:r>
          </w:p>
        </w:tc>
      </w:tr>
      <w:tr w:rsidR="00B57C61" w:rsidRPr="006F702D" w14:paraId="5C8F66C7" w14:textId="77777777" w:rsidTr="006B7333">
        <w:trPr>
          <w:trHeight w:hRule="exact" w:val="908"/>
        </w:trPr>
        <w:tc>
          <w:tcPr>
            <w:tcW w:w="9507" w:type="dxa"/>
            <w:gridSpan w:val="5"/>
            <w:shd w:val="clear" w:color="auto" w:fill="DFDFDF"/>
          </w:tcPr>
          <w:p w14:paraId="5C8F66C5" w14:textId="77777777" w:rsidR="00B57C61" w:rsidRPr="006F702D" w:rsidRDefault="00B57C61" w:rsidP="006B7333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</w:rPr>
            </w:pPr>
            <w:r w:rsidRPr="006F702D">
              <w:rPr>
                <w:rFonts w:asciiTheme="minorHAnsi" w:hAnsiTheme="minorHAnsi" w:cstheme="minorHAnsi"/>
                <w:sz w:val="24"/>
                <w:u w:val="single"/>
              </w:rPr>
              <w:t>Members Supporting the Call-In</w:t>
            </w:r>
            <w:r w:rsidRPr="006F702D">
              <w:rPr>
                <w:rFonts w:asciiTheme="minorHAnsi" w:hAnsiTheme="minorHAnsi" w:cstheme="minorHAnsi"/>
                <w:sz w:val="24"/>
              </w:rPr>
              <w:t>:</w:t>
            </w:r>
          </w:p>
          <w:p w14:paraId="5C8F66C6" w14:textId="77777777" w:rsidR="00B57C61" w:rsidRPr="006F702D" w:rsidRDefault="00B57C61" w:rsidP="006B7333">
            <w:pPr>
              <w:pStyle w:val="TableParagraph"/>
              <w:spacing w:before="210"/>
              <w:ind w:right="129"/>
              <w:rPr>
                <w:rFonts w:asciiTheme="minorHAnsi" w:hAnsiTheme="minorHAnsi" w:cstheme="minorHAnsi"/>
                <w:sz w:val="18"/>
              </w:rPr>
            </w:pPr>
            <w:r w:rsidRPr="006F702D">
              <w:rPr>
                <w:rFonts w:asciiTheme="minorHAnsi" w:hAnsiTheme="minorHAnsi" w:cstheme="minorHAnsi"/>
                <w:sz w:val="18"/>
              </w:rPr>
              <w:t>Note 5: The Initiating Member should o</w:t>
            </w:r>
            <w:r>
              <w:rPr>
                <w:rFonts w:asciiTheme="minorHAnsi" w:hAnsiTheme="minorHAnsi" w:cstheme="minorHAnsi"/>
                <w:sz w:val="18"/>
              </w:rPr>
              <w:t>btain signatures from at least 4</w:t>
            </w:r>
            <w:r w:rsidRPr="006F702D">
              <w:rPr>
                <w:rFonts w:asciiTheme="minorHAnsi" w:hAnsiTheme="minorHAnsi" w:cstheme="minorHAnsi"/>
                <w:sz w:val="18"/>
              </w:rPr>
              <w:t xml:space="preserve"> other Members, who are </w:t>
            </w:r>
            <w:r>
              <w:rPr>
                <w:rFonts w:asciiTheme="minorHAnsi" w:hAnsiTheme="minorHAnsi" w:cstheme="minorHAnsi"/>
                <w:sz w:val="18"/>
              </w:rPr>
              <w:t>not members of the Cabinet.</w:t>
            </w:r>
          </w:p>
        </w:tc>
      </w:tr>
      <w:tr w:rsidR="00B57C61" w:rsidRPr="006F702D" w14:paraId="5C8F66CA" w14:textId="77777777" w:rsidTr="006B7333">
        <w:trPr>
          <w:trHeight w:hRule="exact" w:val="562"/>
        </w:trPr>
        <w:tc>
          <w:tcPr>
            <w:tcW w:w="4657" w:type="dxa"/>
            <w:gridSpan w:val="3"/>
          </w:tcPr>
          <w:p w14:paraId="5C8F66C8" w14:textId="795D13E2" w:rsidR="00B57C61" w:rsidRPr="006F702D" w:rsidRDefault="00B57C61" w:rsidP="006B7333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</w:rPr>
            </w:pPr>
            <w:r w:rsidRPr="006F702D">
              <w:rPr>
                <w:rFonts w:asciiTheme="minorHAnsi" w:hAnsiTheme="minorHAnsi" w:cstheme="minorHAnsi"/>
                <w:sz w:val="24"/>
              </w:rPr>
              <w:t>1)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470F69">
              <w:rPr>
                <w:rFonts w:asciiTheme="minorHAnsi" w:hAnsiTheme="minorHAnsi" w:cstheme="minorHAnsi"/>
                <w:sz w:val="24"/>
              </w:rPr>
              <w:t>Cllr C Benson</w:t>
            </w:r>
          </w:p>
        </w:tc>
        <w:tc>
          <w:tcPr>
            <w:tcW w:w="4850" w:type="dxa"/>
            <w:gridSpan w:val="2"/>
          </w:tcPr>
          <w:p w14:paraId="5C8F66C9" w14:textId="77777777" w:rsidR="00B57C61" w:rsidRPr="006F702D" w:rsidRDefault="00B57C61" w:rsidP="006B7333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</w:rPr>
            </w:pPr>
            <w:r w:rsidRPr="006F702D">
              <w:rPr>
                <w:rFonts w:asciiTheme="minorHAnsi" w:hAnsiTheme="minorHAnsi" w:cstheme="minorHAnsi"/>
                <w:sz w:val="24"/>
              </w:rPr>
              <w:t>2)</w:t>
            </w:r>
            <w:r>
              <w:rPr>
                <w:rFonts w:asciiTheme="minorHAnsi" w:hAnsiTheme="minorHAnsi" w:cstheme="minorHAnsi"/>
                <w:sz w:val="24"/>
              </w:rPr>
              <w:t xml:space="preserve"> Cllr </w:t>
            </w:r>
            <w:r w:rsidR="007C2CE8">
              <w:rPr>
                <w:rFonts w:asciiTheme="minorHAnsi" w:hAnsiTheme="minorHAnsi" w:cstheme="minorHAnsi"/>
                <w:sz w:val="24"/>
              </w:rPr>
              <w:t>K Buckley</w:t>
            </w:r>
          </w:p>
        </w:tc>
      </w:tr>
      <w:tr w:rsidR="00B57C61" w:rsidRPr="006F702D" w14:paraId="5C8F66CD" w14:textId="77777777" w:rsidTr="006B7333">
        <w:trPr>
          <w:trHeight w:hRule="exact" w:val="562"/>
        </w:trPr>
        <w:tc>
          <w:tcPr>
            <w:tcW w:w="4657" w:type="dxa"/>
            <w:gridSpan w:val="3"/>
          </w:tcPr>
          <w:p w14:paraId="5C8F66CB" w14:textId="04F1B59F" w:rsidR="00B57C61" w:rsidRPr="006F702D" w:rsidRDefault="00B57C61" w:rsidP="006B7333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3) </w:t>
            </w:r>
            <w:r w:rsidR="00470F69">
              <w:rPr>
                <w:rFonts w:asciiTheme="minorHAnsi" w:hAnsiTheme="minorHAnsi" w:cstheme="minorHAnsi"/>
                <w:sz w:val="24"/>
              </w:rPr>
              <w:t>Cllr G Chapman</w:t>
            </w:r>
          </w:p>
        </w:tc>
        <w:tc>
          <w:tcPr>
            <w:tcW w:w="4850" w:type="dxa"/>
            <w:gridSpan w:val="2"/>
          </w:tcPr>
          <w:p w14:paraId="5C8F66CC" w14:textId="4243240A" w:rsidR="00B57C61" w:rsidRPr="006F702D" w:rsidRDefault="00B57C61" w:rsidP="006B7333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4) Cllr </w:t>
            </w:r>
            <w:r w:rsidR="00470F69">
              <w:rPr>
                <w:rFonts w:asciiTheme="minorHAnsi" w:hAnsiTheme="minorHAnsi" w:cstheme="minorHAnsi"/>
                <w:sz w:val="24"/>
              </w:rPr>
              <w:t>R</w:t>
            </w:r>
            <w:r w:rsidR="007C2CE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470F69">
              <w:rPr>
                <w:rFonts w:asciiTheme="minorHAnsi" w:hAnsiTheme="minorHAnsi" w:cstheme="minorHAnsi"/>
                <w:sz w:val="24"/>
              </w:rPr>
              <w:t>Tynan</w:t>
            </w:r>
          </w:p>
        </w:tc>
      </w:tr>
      <w:tr w:rsidR="00B57C61" w:rsidRPr="006F702D" w14:paraId="5C8F66CF" w14:textId="77777777" w:rsidTr="00796D0E">
        <w:trPr>
          <w:trHeight w:hRule="exact" w:val="812"/>
        </w:trPr>
        <w:tc>
          <w:tcPr>
            <w:tcW w:w="9507" w:type="dxa"/>
            <w:gridSpan w:val="5"/>
            <w:shd w:val="clear" w:color="auto" w:fill="DFDFDF"/>
          </w:tcPr>
          <w:p w14:paraId="5C8F66CE" w14:textId="77777777" w:rsidR="00B57C61" w:rsidRPr="006F702D" w:rsidRDefault="00B57C61" w:rsidP="006B7333">
            <w:pPr>
              <w:pStyle w:val="TableParagraph"/>
              <w:ind w:right="205"/>
              <w:rPr>
                <w:rFonts w:asciiTheme="minorHAnsi" w:hAnsiTheme="minorHAnsi" w:cstheme="minorHAnsi"/>
                <w:sz w:val="18"/>
              </w:rPr>
            </w:pPr>
            <w:r w:rsidRPr="006F702D">
              <w:rPr>
                <w:rFonts w:asciiTheme="minorHAnsi" w:hAnsiTheme="minorHAnsi" w:cstheme="minorHAnsi"/>
                <w:sz w:val="18"/>
              </w:rPr>
              <w:t>Note 6: When the required number of signatories have been obtained the form should be submitted to the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6F702D">
              <w:rPr>
                <w:rFonts w:asciiTheme="minorHAnsi" w:hAnsiTheme="minorHAnsi" w:cstheme="minorHAnsi"/>
                <w:sz w:val="18"/>
              </w:rPr>
              <w:t>Democratic Services Manager, to be received within 5 clear working days of the decision having been made. If the form is submitted electronically, signatories may confirm their agreement to the call-in by separate e-mail.</w:t>
            </w:r>
          </w:p>
        </w:tc>
      </w:tr>
    </w:tbl>
    <w:p w14:paraId="5C8F66D0" w14:textId="77777777" w:rsidR="00456DB9" w:rsidRDefault="00961E9A"/>
    <w:p w14:paraId="5C8F66D1" w14:textId="77777777" w:rsidR="00B57C61" w:rsidRDefault="00B57C61"/>
    <w:p w14:paraId="5C8F66D2" w14:textId="77777777" w:rsidR="00B57C61" w:rsidRDefault="00B57C61"/>
    <w:p w14:paraId="5C8F66D4" w14:textId="17353944" w:rsidR="00B57C61" w:rsidRDefault="00B57C61">
      <w:r w:rsidRPr="000E307A">
        <w:rPr>
          <w:rFonts w:asciiTheme="minorHAnsi" w:hAnsiTheme="minorHAnsi" w:cstheme="minorHAnsi"/>
          <w:noProof/>
          <w:color w:val="FF0000"/>
          <w:sz w:val="20"/>
          <w:lang w:eastAsia="en-GB"/>
        </w:rPr>
        <w:drawing>
          <wp:inline distT="0" distB="0" distL="0" distR="0" wp14:anchorId="5C8F66D5" wp14:editId="5C8F66D6">
            <wp:extent cx="1566156" cy="411479"/>
            <wp:effectExtent l="0" t="0" r="0" b="0"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156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A3DF1" w14:textId="77777777" w:rsidR="007F09C5" w:rsidRDefault="007F09C5" w:rsidP="00B57C61">
      <w:r>
        <w:separator/>
      </w:r>
    </w:p>
  </w:endnote>
  <w:endnote w:type="continuationSeparator" w:id="0">
    <w:p w14:paraId="6391289F" w14:textId="77777777" w:rsidR="007F09C5" w:rsidRDefault="007F09C5" w:rsidP="00B5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F7B07" w14:textId="77777777" w:rsidR="007F09C5" w:rsidRDefault="007F09C5" w:rsidP="00B57C61">
      <w:r>
        <w:separator/>
      </w:r>
    </w:p>
  </w:footnote>
  <w:footnote w:type="continuationSeparator" w:id="0">
    <w:p w14:paraId="38AFB61A" w14:textId="77777777" w:rsidR="007F09C5" w:rsidRDefault="007F09C5" w:rsidP="00B57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15712"/>
    <w:multiLevelType w:val="hybridMultilevel"/>
    <w:tmpl w:val="4B706780"/>
    <w:lvl w:ilvl="0" w:tplc="3528A4C2">
      <w:start w:val="1"/>
      <w:numFmt w:val="lowerLetter"/>
      <w:lvlText w:val="(%1)"/>
      <w:lvlJc w:val="left"/>
      <w:pPr>
        <w:ind w:left="643" w:hanging="540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1CFC78E6">
      <w:numFmt w:val="bullet"/>
      <w:lvlText w:val="•"/>
      <w:lvlJc w:val="left"/>
      <w:pPr>
        <w:ind w:left="1525" w:hanging="540"/>
      </w:pPr>
      <w:rPr>
        <w:rFonts w:hint="default"/>
      </w:rPr>
    </w:lvl>
    <w:lvl w:ilvl="2" w:tplc="898649B4">
      <w:numFmt w:val="bullet"/>
      <w:lvlText w:val="•"/>
      <w:lvlJc w:val="left"/>
      <w:pPr>
        <w:ind w:left="2411" w:hanging="540"/>
      </w:pPr>
      <w:rPr>
        <w:rFonts w:hint="default"/>
      </w:rPr>
    </w:lvl>
    <w:lvl w:ilvl="3" w:tplc="E1A2BBD4">
      <w:numFmt w:val="bullet"/>
      <w:lvlText w:val="•"/>
      <w:lvlJc w:val="left"/>
      <w:pPr>
        <w:ind w:left="3296" w:hanging="540"/>
      </w:pPr>
      <w:rPr>
        <w:rFonts w:hint="default"/>
      </w:rPr>
    </w:lvl>
    <w:lvl w:ilvl="4" w:tplc="67F241EC">
      <w:numFmt w:val="bullet"/>
      <w:lvlText w:val="•"/>
      <w:lvlJc w:val="left"/>
      <w:pPr>
        <w:ind w:left="4182" w:hanging="540"/>
      </w:pPr>
      <w:rPr>
        <w:rFonts w:hint="default"/>
      </w:rPr>
    </w:lvl>
    <w:lvl w:ilvl="5" w:tplc="8876AB5A">
      <w:numFmt w:val="bullet"/>
      <w:lvlText w:val="•"/>
      <w:lvlJc w:val="left"/>
      <w:pPr>
        <w:ind w:left="5068" w:hanging="540"/>
      </w:pPr>
      <w:rPr>
        <w:rFonts w:hint="default"/>
      </w:rPr>
    </w:lvl>
    <w:lvl w:ilvl="6" w:tplc="1CAEC628">
      <w:numFmt w:val="bullet"/>
      <w:lvlText w:val="•"/>
      <w:lvlJc w:val="left"/>
      <w:pPr>
        <w:ind w:left="5953" w:hanging="540"/>
      </w:pPr>
      <w:rPr>
        <w:rFonts w:hint="default"/>
      </w:rPr>
    </w:lvl>
    <w:lvl w:ilvl="7" w:tplc="7940F744">
      <w:numFmt w:val="bullet"/>
      <w:lvlText w:val="•"/>
      <w:lvlJc w:val="left"/>
      <w:pPr>
        <w:ind w:left="6839" w:hanging="540"/>
      </w:pPr>
      <w:rPr>
        <w:rFonts w:hint="default"/>
      </w:rPr>
    </w:lvl>
    <w:lvl w:ilvl="8" w:tplc="734EF93C">
      <w:numFmt w:val="bullet"/>
      <w:lvlText w:val="•"/>
      <w:lvlJc w:val="left"/>
      <w:pPr>
        <w:ind w:left="7725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61"/>
    <w:rsid w:val="00030290"/>
    <w:rsid w:val="000408A1"/>
    <w:rsid w:val="0005633A"/>
    <w:rsid w:val="00072F25"/>
    <w:rsid w:val="000773EF"/>
    <w:rsid w:val="00085637"/>
    <w:rsid w:val="00096BBE"/>
    <w:rsid w:val="000A378E"/>
    <w:rsid w:val="000D0B1E"/>
    <w:rsid w:val="000E3B14"/>
    <w:rsid w:val="000E3E95"/>
    <w:rsid w:val="001066FC"/>
    <w:rsid w:val="001129E1"/>
    <w:rsid w:val="00115AAD"/>
    <w:rsid w:val="00132B9E"/>
    <w:rsid w:val="001717BC"/>
    <w:rsid w:val="00195CDF"/>
    <w:rsid w:val="001C61C4"/>
    <w:rsid w:val="00211650"/>
    <w:rsid w:val="00225472"/>
    <w:rsid w:val="002460E2"/>
    <w:rsid w:val="00251D7E"/>
    <w:rsid w:val="00265C20"/>
    <w:rsid w:val="00271455"/>
    <w:rsid w:val="00292BD1"/>
    <w:rsid w:val="003122F4"/>
    <w:rsid w:val="00325E45"/>
    <w:rsid w:val="00334A2D"/>
    <w:rsid w:val="00351532"/>
    <w:rsid w:val="00352B11"/>
    <w:rsid w:val="00375C83"/>
    <w:rsid w:val="00382A70"/>
    <w:rsid w:val="003C0879"/>
    <w:rsid w:val="003D3963"/>
    <w:rsid w:val="00415399"/>
    <w:rsid w:val="00416C5F"/>
    <w:rsid w:val="004275AC"/>
    <w:rsid w:val="00431514"/>
    <w:rsid w:val="00467CC3"/>
    <w:rsid w:val="00470F69"/>
    <w:rsid w:val="00483660"/>
    <w:rsid w:val="00485AA8"/>
    <w:rsid w:val="004940DE"/>
    <w:rsid w:val="004D3010"/>
    <w:rsid w:val="004D6BE7"/>
    <w:rsid w:val="004E6DC5"/>
    <w:rsid w:val="004E7876"/>
    <w:rsid w:val="00512CB0"/>
    <w:rsid w:val="00516D1C"/>
    <w:rsid w:val="005177EB"/>
    <w:rsid w:val="00535A9E"/>
    <w:rsid w:val="0054531D"/>
    <w:rsid w:val="00574DB2"/>
    <w:rsid w:val="005B09A9"/>
    <w:rsid w:val="005F09DC"/>
    <w:rsid w:val="00612BCC"/>
    <w:rsid w:val="00655294"/>
    <w:rsid w:val="0067246C"/>
    <w:rsid w:val="006769C4"/>
    <w:rsid w:val="00684E62"/>
    <w:rsid w:val="00690376"/>
    <w:rsid w:val="006B7333"/>
    <w:rsid w:val="006C17C8"/>
    <w:rsid w:val="006E1C06"/>
    <w:rsid w:val="006F2C4C"/>
    <w:rsid w:val="00701FBD"/>
    <w:rsid w:val="00722374"/>
    <w:rsid w:val="00735121"/>
    <w:rsid w:val="00756038"/>
    <w:rsid w:val="00782E8D"/>
    <w:rsid w:val="00795F79"/>
    <w:rsid w:val="00796D0E"/>
    <w:rsid w:val="007C2CE8"/>
    <w:rsid w:val="007F09C5"/>
    <w:rsid w:val="00824403"/>
    <w:rsid w:val="0083771A"/>
    <w:rsid w:val="008404BB"/>
    <w:rsid w:val="0086215A"/>
    <w:rsid w:val="00865B9B"/>
    <w:rsid w:val="00866F86"/>
    <w:rsid w:val="00873ED3"/>
    <w:rsid w:val="00875817"/>
    <w:rsid w:val="00880B4C"/>
    <w:rsid w:val="008D1383"/>
    <w:rsid w:val="008E11E6"/>
    <w:rsid w:val="0090751F"/>
    <w:rsid w:val="00920545"/>
    <w:rsid w:val="009302A0"/>
    <w:rsid w:val="00935022"/>
    <w:rsid w:val="00950451"/>
    <w:rsid w:val="00961E9A"/>
    <w:rsid w:val="009A79B3"/>
    <w:rsid w:val="009B729E"/>
    <w:rsid w:val="00A149C8"/>
    <w:rsid w:val="00A25074"/>
    <w:rsid w:val="00A45B78"/>
    <w:rsid w:val="00A73D20"/>
    <w:rsid w:val="00AA1264"/>
    <w:rsid w:val="00AC75CF"/>
    <w:rsid w:val="00AD2543"/>
    <w:rsid w:val="00AD428E"/>
    <w:rsid w:val="00AE0687"/>
    <w:rsid w:val="00B10CD1"/>
    <w:rsid w:val="00B16C54"/>
    <w:rsid w:val="00B230B2"/>
    <w:rsid w:val="00B57C61"/>
    <w:rsid w:val="00BA79A7"/>
    <w:rsid w:val="00BB57CC"/>
    <w:rsid w:val="00BE72BD"/>
    <w:rsid w:val="00C30064"/>
    <w:rsid w:val="00C44CE7"/>
    <w:rsid w:val="00C54CEB"/>
    <w:rsid w:val="00C81E82"/>
    <w:rsid w:val="00CA5D86"/>
    <w:rsid w:val="00CD2E47"/>
    <w:rsid w:val="00CE4C09"/>
    <w:rsid w:val="00CF5D34"/>
    <w:rsid w:val="00D613C6"/>
    <w:rsid w:val="00DA0B01"/>
    <w:rsid w:val="00DE3BC2"/>
    <w:rsid w:val="00DF3274"/>
    <w:rsid w:val="00DF52F4"/>
    <w:rsid w:val="00E1251D"/>
    <w:rsid w:val="00E1654E"/>
    <w:rsid w:val="00E45219"/>
    <w:rsid w:val="00E47574"/>
    <w:rsid w:val="00E64E70"/>
    <w:rsid w:val="00E66D35"/>
    <w:rsid w:val="00E82410"/>
    <w:rsid w:val="00E84D8F"/>
    <w:rsid w:val="00E859A9"/>
    <w:rsid w:val="00E9558A"/>
    <w:rsid w:val="00E978F9"/>
    <w:rsid w:val="00F06AAE"/>
    <w:rsid w:val="00F55A90"/>
    <w:rsid w:val="00F76204"/>
    <w:rsid w:val="00F94A0B"/>
    <w:rsid w:val="00FC011E"/>
    <w:rsid w:val="00FC5013"/>
    <w:rsid w:val="00FD599F"/>
    <w:rsid w:val="00FE583F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6691"/>
  <w15:chartTrackingRefBased/>
  <w15:docId w15:val="{DE8846D1-D458-45A0-9D97-A9D17069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7C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C61"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  <w:rsid w:val="00B57C61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B57C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C61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7C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C61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Sharon</dc:creator>
  <cp:keywords/>
  <dc:description/>
  <cp:lastModifiedBy>Gary Skentelbery</cp:lastModifiedBy>
  <cp:revision>2</cp:revision>
  <dcterms:created xsi:type="dcterms:W3CDTF">2023-01-11T10:27:00Z</dcterms:created>
  <dcterms:modified xsi:type="dcterms:W3CDTF">2023-01-11T10:27:00Z</dcterms:modified>
</cp:coreProperties>
</file>